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75" w:rsidRPr="00426211" w:rsidRDefault="008F4775" w:rsidP="008F4775">
      <w:pPr>
        <w:pStyle w:val="2"/>
        <w:spacing w:before="0" w:after="0"/>
        <w:jc w:val="center"/>
        <w:rPr>
          <w:rFonts w:ascii="Times New Roman" w:hAnsi="Times New Roman" w:cs="Times New Roman"/>
        </w:rPr>
      </w:pPr>
      <w:bookmarkStart w:id="0" w:name="_Toc339633996"/>
      <w:r w:rsidRPr="00A43237">
        <w:rPr>
          <w:rFonts w:ascii="Times New Roman" w:hAnsi="Times New Roman"/>
          <w:i w:val="0"/>
          <w:u w:val="single"/>
        </w:rPr>
        <w:t>Глава 1</w:t>
      </w:r>
      <w:r>
        <w:rPr>
          <w:rFonts w:ascii="Times New Roman" w:hAnsi="Times New Roman"/>
          <w:i w:val="0"/>
          <w:u w:val="single"/>
        </w:rPr>
        <w:t>2</w:t>
      </w:r>
      <w:r w:rsidRPr="00A43237">
        <w:rPr>
          <w:rFonts w:ascii="Times New Roman" w:hAnsi="Times New Roman"/>
          <w:i w:val="0"/>
          <w:u w:val="single"/>
        </w:rPr>
        <w:t xml:space="preserve">. </w:t>
      </w:r>
      <w:r w:rsidRPr="00530E1F">
        <w:rPr>
          <w:rFonts w:ascii="Times New Roman" w:hAnsi="Times New Roman"/>
          <w:i w:val="0"/>
        </w:rPr>
        <w:t>Градостроительные регламенты территориальных зон</w:t>
      </w:r>
      <w:bookmarkEnd w:id="0"/>
    </w:p>
    <w:p w:rsidR="008F4775" w:rsidRDefault="008F4775" w:rsidP="008F4775">
      <w:pPr>
        <w:pStyle w:val="3"/>
        <w:spacing w:after="120"/>
        <w:jc w:val="center"/>
        <w:rPr>
          <w:rFonts w:ascii="Times New Roman" w:hAnsi="Times New Roman"/>
          <w:bCs w:val="0"/>
          <w:i/>
          <w:sz w:val="28"/>
        </w:rPr>
      </w:pPr>
      <w:bookmarkStart w:id="1" w:name="_Toc339633997"/>
      <w:r w:rsidRPr="00A43237">
        <w:rPr>
          <w:rFonts w:ascii="Times New Roman" w:hAnsi="Times New Roman"/>
          <w:bCs w:val="0"/>
          <w:i/>
          <w:sz w:val="28"/>
        </w:rPr>
        <w:t>Статья 5</w:t>
      </w:r>
      <w:r>
        <w:rPr>
          <w:rFonts w:ascii="Times New Roman" w:hAnsi="Times New Roman"/>
          <w:bCs w:val="0"/>
          <w:i/>
          <w:sz w:val="28"/>
        </w:rPr>
        <w:t>0</w:t>
      </w:r>
      <w:r w:rsidRPr="00A43237">
        <w:rPr>
          <w:rFonts w:ascii="Times New Roman" w:hAnsi="Times New Roman"/>
          <w:bCs w:val="0"/>
          <w:i/>
          <w:sz w:val="28"/>
        </w:rPr>
        <w:t>.1. Градостроительные регламенты. Жилая зона</w:t>
      </w:r>
      <w:bookmarkEnd w:id="1"/>
    </w:p>
    <w:p w:rsidR="008F4775" w:rsidRPr="008B1A38" w:rsidRDefault="008F4775" w:rsidP="008F4775">
      <w:pPr>
        <w:pStyle w:val="3"/>
        <w:spacing w:after="120"/>
        <w:jc w:val="center"/>
        <w:rPr>
          <w:rFonts w:ascii="Times New Roman" w:hAnsi="Times New Roman"/>
          <w:bCs w:val="0"/>
          <w:i/>
          <w:sz w:val="28"/>
        </w:rPr>
      </w:pPr>
      <w:bookmarkStart w:id="2" w:name="_Toc339633998"/>
      <w:r w:rsidRPr="008B1A38">
        <w:rPr>
          <w:rFonts w:ascii="Times New Roman" w:hAnsi="Times New Roman"/>
          <w:bCs w:val="0"/>
          <w:i/>
          <w:sz w:val="28"/>
        </w:rPr>
        <w:t>Ж</w:t>
      </w:r>
      <w:proofErr w:type="gramStart"/>
      <w:r w:rsidRPr="008B1A38">
        <w:rPr>
          <w:rFonts w:ascii="Times New Roman" w:hAnsi="Times New Roman"/>
          <w:bCs w:val="0"/>
          <w:i/>
          <w:sz w:val="28"/>
        </w:rPr>
        <w:t>1</w:t>
      </w:r>
      <w:proofErr w:type="gramEnd"/>
      <w:r w:rsidRPr="008B1A38">
        <w:rPr>
          <w:rFonts w:ascii="Times New Roman" w:hAnsi="Times New Roman"/>
          <w:bCs w:val="0"/>
          <w:i/>
          <w:sz w:val="28"/>
        </w:rPr>
        <w:t>. Зона усадебной застройки</w:t>
      </w:r>
      <w:bookmarkEnd w:id="2"/>
    </w:p>
    <w:p w:rsidR="008F4775" w:rsidRPr="00A43237" w:rsidRDefault="008F4775" w:rsidP="008F4775">
      <w:pPr>
        <w:jc w:val="both"/>
        <w:rPr>
          <w:spacing w:val="5"/>
          <w:sz w:val="28"/>
          <w:szCs w:val="28"/>
        </w:rPr>
      </w:pPr>
      <w:r w:rsidRPr="00A43237">
        <w:rPr>
          <w:spacing w:val="5"/>
          <w:sz w:val="28"/>
          <w:szCs w:val="28"/>
        </w:rPr>
        <w:t>Зона индивидуальной жилой застройки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6"/>
        <w:gridCol w:w="3623"/>
        <w:gridCol w:w="3227"/>
        <w:gridCol w:w="4185"/>
      </w:tblGrid>
      <w:tr w:rsidR="008F4775" w:rsidRPr="00A43237" w:rsidTr="00266978">
        <w:trPr>
          <w:tblHeader/>
        </w:trPr>
        <w:tc>
          <w:tcPr>
            <w:tcW w:w="3402" w:type="dxa"/>
          </w:tcPr>
          <w:p w:rsidR="008F4775" w:rsidRPr="00A43237" w:rsidRDefault="008F4775" w:rsidP="00266978">
            <w:pPr>
              <w:jc w:val="center"/>
              <w:rPr>
                <w:b/>
                <w:spacing w:val="4"/>
                <w:sz w:val="28"/>
                <w:szCs w:val="28"/>
              </w:rPr>
            </w:pPr>
            <w:r w:rsidRPr="00A43237">
              <w:rPr>
                <w:b/>
                <w:spacing w:val="4"/>
                <w:sz w:val="28"/>
                <w:szCs w:val="28"/>
              </w:rPr>
              <w:t>Основные виды</w:t>
            </w:r>
          </w:p>
          <w:p w:rsidR="008F4775" w:rsidRPr="00A43237" w:rsidRDefault="008F4775" w:rsidP="00266978">
            <w:pPr>
              <w:jc w:val="center"/>
              <w:rPr>
                <w:b/>
                <w:spacing w:val="4"/>
                <w:sz w:val="28"/>
                <w:szCs w:val="28"/>
              </w:rPr>
            </w:pPr>
            <w:r w:rsidRPr="00A43237">
              <w:rPr>
                <w:b/>
                <w:spacing w:val="4"/>
                <w:sz w:val="28"/>
                <w:szCs w:val="28"/>
              </w:rPr>
              <w:t>разрешённого использования</w:t>
            </w:r>
          </w:p>
        </w:tc>
        <w:tc>
          <w:tcPr>
            <w:tcW w:w="3686" w:type="dxa"/>
          </w:tcPr>
          <w:p w:rsidR="008F4775" w:rsidRPr="00A43237" w:rsidRDefault="008F4775" w:rsidP="00266978">
            <w:pPr>
              <w:jc w:val="center"/>
              <w:rPr>
                <w:b/>
                <w:spacing w:val="4"/>
                <w:sz w:val="28"/>
                <w:szCs w:val="28"/>
              </w:rPr>
            </w:pPr>
            <w:r w:rsidRPr="00A43237">
              <w:rPr>
                <w:b/>
                <w:spacing w:val="4"/>
                <w:sz w:val="28"/>
                <w:szCs w:val="28"/>
              </w:rPr>
              <w:t>Вспомогательные виды разрешённого использования</w:t>
            </w:r>
          </w:p>
        </w:tc>
        <w:tc>
          <w:tcPr>
            <w:tcW w:w="3260" w:type="dxa"/>
          </w:tcPr>
          <w:p w:rsidR="008F4775" w:rsidRPr="00A43237" w:rsidRDefault="008F4775" w:rsidP="00266978">
            <w:pPr>
              <w:jc w:val="center"/>
              <w:rPr>
                <w:b/>
                <w:spacing w:val="4"/>
                <w:sz w:val="28"/>
                <w:szCs w:val="28"/>
              </w:rPr>
            </w:pPr>
            <w:r w:rsidRPr="00A43237">
              <w:rPr>
                <w:b/>
                <w:spacing w:val="4"/>
                <w:sz w:val="28"/>
                <w:szCs w:val="28"/>
              </w:rPr>
              <w:t>Условно разрешенные виды (только через публичные слушания)</w:t>
            </w:r>
          </w:p>
        </w:tc>
        <w:tc>
          <w:tcPr>
            <w:tcW w:w="4253" w:type="dxa"/>
          </w:tcPr>
          <w:p w:rsidR="008F4775" w:rsidRPr="00A43237" w:rsidRDefault="008F4775" w:rsidP="00266978">
            <w:pPr>
              <w:jc w:val="center"/>
              <w:rPr>
                <w:b/>
                <w:spacing w:val="4"/>
                <w:sz w:val="28"/>
                <w:szCs w:val="28"/>
              </w:rPr>
            </w:pPr>
            <w:r w:rsidRPr="00A43237">
              <w:rPr>
                <w:b/>
                <w:spacing w:val="4"/>
                <w:sz w:val="28"/>
                <w:szCs w:val="28"/>
              </w:rPr>
              <w:t>Параметры и условия физических и градостроительных изменений</w:t>
            </w:r>
          </w:p>
        </w:tc>
      </w:tr>
      <w:tr w:rsidR="008F4775" w:rsidRPr="00A43237" w:rsidTr="00266978">
        <w:tc>
          <w:tcPr>
            <w:tcW w:w="3402" w:type="dxa"/>
          </w:tcPr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индивидуальные жилые дома с участками;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блокированные жилые дома;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могут быть встроено-пристроенные или отдельно </w:t>
            </w:r>
            <w:proofErr w:type="gramStart"/>
            <w:r w:rsidRPr="00A43237">
              <w:rPr>
                <w:spacing w:val="5"/>
                <w:sz w:val="28"/>
                <w:szCs w:val="28"/>
              </w:rPr>
              <w:t>стоящие</w:t>
            </w:r>
            <w:proofErr w:type="gramEnd"/>
            <w:r w:rsidRPr="00A43237">
              <w:rPr>
                <w:spacing w:val="5"/>
                <w:sz w:val="28"/>
                <w:szCs w:val="28"/>
              </w:rPr>
              <w:t>:</w:t>
            </w:r>
          </w:p>
          <w:p w:rsidR="008F4775" w:rsidRPr="00A43237" w:rsidRDefault="008F4775" w:rsidP="00266978">
            <w:pPr>
              <w:ind w:left="602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объекты повседневного обслуживания населения (детские дошкольные учреждения, общеобразовательные школы, учреждения внешкольного образования и другие объекты </w:t>
            </w:r>
            <w:r w:rsidRPr="00A43237">
              <w:rPr>
                <w:spacing w:val="5"/>
                <w:sz w:val="28"/>
                <w:szCs w:val="28"/>
              </w:rPr>
              <w:lastRenderedPageBreak/>
              <w:t>образования);</w:t>
            </w:r>
          </w:p>
          <w:p w:rsidR="008F4775" w:rsidRPr="00A43237" w:rsidRDefault="008F4775" w:rsidP="00266978">
            <w:pPr>
              <w:widowControl w:val="0"/>
              <w:ind w:left="602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магазины (торговой площадью не более 50 кв. м);</w:t>
            </w:r>
          </w:p>
          <w:p w:rsidR="008F4775" w:rsidRPr="00A43237" w:rsidRDefault="008F4775" w:rsidP="00266978">
            <w:pPr>
              <w:ind w:left="602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объекты здравоохранения (</w:t>
            </w:r>
            <w:proofErr w:type="spellStart"/>
            <w:r w:rsidRPr="00A43237">
              <w:rPr>
                <w:spacing w:val="5"/>
                <w:sz w:val="28"/>
                <w:szCs w:val="28"/>
              </w:rPr>
              <w:t>фельдщерско-акушерские</w:t>
            </w:r>
            <w:proofErr w:type="spellEnd"/>
            <w:r w:rsidRPr="00A43237">
              <w:rPr>
                <w:spacing w:val="5"/>
                <w:sz w:val="28"/>
                <w:szCs w:val="28"/>
              </w:rPr>
              <w:t xml:space="preserve"> пункты, аптеки VI-VIII групп, раздаточные пункты);</w:t>
            </w:r>
          </w:p>
          <w:p w:rsidR="008F4775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детские игровые площадки, площадки для отдыха взрослого населения, спортивные </w:t>
            </w:r>
            <w:r>
              <w:rPr>
                <w:spacing w:val="5"/>
                <w:sz w:val="28"/>
                <w:szCs w:val="28"/>
              </w:rPr>
              <w:t>площадки;</w:t>
            </w:r>
          </w:p>
          <w:p w:rsidR="008F4775" w:rsidRPr="008F4775" w:rsidRDefault="008F4775" w:rsidP="00266978">
            <w:pPr>
              <w:rPr>
                <w:b/>
                <w:spacing w:val="5"/>
                <w:sz w:val="28"/>
                <w:szCs w:val="28"/>
              </w:rPr>
            </w:pPr>
            <w:r w:rsidRPr="008F4775">
              <w:rPr>
                <w:b/>
                <w:spacing w:val="5"/>
                <w:sz w:val="28"/>
                <w:szCs w:val="28"/>
              </w:rPr>
              <w:t>- отдельно стоящие гаражи.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</w:p>
        </w:tc>
        <w:tc>
          <w:tcPr>
            <w:tcW w:w="3686" w:type="dxa"/>
          </w:tcPr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lastRenderedPageBreak/>
              <w:t>- озеленение и благоустройство территории;</w:t>
            </w:r>
          </w:p>
          <w:p w:rsidR="008F4775" w:rsidRPr="00A43237" w:rsidRDefault="008F4775" w:rsidP="00266978">
            <w:pPr>
              <w:pStyle w:val="Iauiue"/>
              <w:overflowPunct w:val="0"/>
              <w:autoSpaceDE w:val="0"/>
              <w:autoSpaceDN w:val="0"/>
              <w:adjustRightInd w:val="0"/>
              <w:textAlignment w:val="baseline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отдельно стоящие или встроенные в жилые дома гаражи или открытые автостоянки;</w:t>
            </w:r>
          </w:p>
          <w:p w:rsidR="008F4775" w:rsidRPr="00A43237" w:rsidRDefault="008F4775" w:rsidP="00266978">
            <w:pPr>
              <w:pStyle w:val="Iauiue"/>
              <w:overflowPunct w:val="0"/>
              <w:autoSpaceDE w:val="0"/>
              <w:autoSpaceDN w:val="0"/>
              <w:adjustRightInd w:val="0"/>
              <w:textAlignment w:val="baseline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объекты пожарной охраны (гидранты, щиты с инвентарем, резервуары и проч.) – в общественной зоне и (или) на участках;</w:t>
            </w:r>
          </w:p>
          <w:p w:rsidR="008F4775" w:rsidRPr="00A43237" w:rsidRDefault="008F4775" w:rsidP="00266978">
            <w:pPr>
              <w:widowControl w:val="0"/>
              <w:rPr>
                <w:spacing w:val="5"/>
                <w:sz w:val="28"/>
                <w:szCs w:val="28"/>
              </w:rPr>
            </w:pPr>
            <w:proofErr w:type="gramStart"/>
            <w:r w:rsidRPr="00A43237">
              <w:rPr>
                <w:spacing w:val="5"/>
                <w:sz w:val="28"/>
                <w:szCs w:val="28"/>
              </w:rPr>
              <w:t>- надворные постройки (мастерские, сараи, теплицы, бани, гаражи и пр.) на участках, отведенных для строительства домов;</w:t>
            </w:r>
            <w:proofErr w:type="gramEnd"/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lastRenderedPageBreak/>
              <w:t>- сады, огороды, палисадники;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индивидуальные резервуары для хранения воды, скважины для забора воды, индивидуальные колодцы;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площадки для хозяйственных целей;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объекты инженерной инфраструктуры, обслуживающие зону.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</w:p>
        </w:tc>
        <w:tc>
          <w:tcPr>
            <w:tcW w:w="3260" w:type="dxa"/>
          </w:tcPr>
          <w:p w:rsidR="008F4775" w:rsidRPr="00893F36" w:rsidRDefault="008F4775" w:rsidP="00266978">
            <w:pPr>
              <w:rPr>
                <w:color w:val="000000" w:themeColor="text1"/>
                <w:spacing w:val="5"/>
                <w:sz w:val="28"/>
                <w:szCs w:val="28"/>
              </w:rPr>
            </w:pPr>
            <w:r w:rsidRPr="00893F36">
              <w:rPr>
                <w:color w:val="000000" w:themeColor="text1"/>
                <w:spacing w:val="5"/>
                <w:sz w:val="28"/>
                <w:szCs w:val="28"/>
              </w:rPr>
              <w:lastRenderedPageBreak/>
              <w:t xml:space="preserve">- секционные жилые дома (до 4-х секций) не выше </w:t>
            </w:r>
            <w:r>
              <w:rPr>
                <w:color w:val="000000" w:themeColor="text1"/>
                <w:spacing w:val="5"/>
                <w:sz w:val="28"/>
                <w:szCs w:val="28"/>
              </w:rPr>
              <w:t>3</w:t>
            </w:r>
            <w:r w:rsidRPr="00893F36">
              <w:rPr>
                <w:color w:val="000000" w:themeColor="text1"/>
                <w:spacing w:val="5"/>
                <w:sz w:val="28"/>
                <w:szCs w:val="28"/>
              </w:rPr>
              <w:t>-х этажей;</w:t>
            </w:r>
          </w:p>
          <w:p w:rsidR="008F4775" w:rsidRPr="00893F36" w:rsidRDefault="008F4775" w:rsidP="002669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pacing w:val="5"/>
                <w:sz w:val="28"/>
                <w:szCs w:val="28"/>
              </w:rPr>
            </w:pPr>
            <w:r w:rsidRPr="00893F36">
              <w:rPr>
                <w:rFonts w:ascii="Times New Roman" w:hAnsi="Times New Roman" w:cs="Times New Roman"/>
                <w:color w:val="000000" w:themeColor="text1"/>
                <w:spacing w:val="5"/>
                <w:sz w:val="28"/>
                <w:szCs w:val="28"/>
              </w:rPr>
              <w:t>- жилые дома различного типа, гостиницы, общежития;</w:t>
            </w:r>
          </w:p>
          <w:p w:rsidR="008F4775" w:rsidRPr="00893F36" w:rsidRDefault="008F4775" w:rsidP="00266978">
            <w:pPr>
              <w:rPr>
                <w:color w:val="000000" w:themeColor="text1"/>
                <w:spacing w:val="5"/>
                <w:sz w:val="28"/>
                <w:szCs w:val="28"/>
              </w:rPr>
            </w:pPr>
            <w:r w:rsidRPr="00893F36">
              <w:rPr>
                <w:color w:val="000000" w:themeColor="text1"/>
                <w:spacing w:val="5"/>
                <w:sz w:val="28"/>
                <w:szCs w:val="28"/>
              </w:rPr>
              <w:t>- объекты отправления культа;</w:t>
            </w:r>
          </w:p>
          <w:p w:rsidR="008F4775" w:rsidRPr="00893F36" w:rsidRDefault="008F4775" w:rsidP="00266978">
            <w:pPr>
              <w:rPr>
                <w:color w:val="000000" w:themeColor="text1"/>
                <w:spacing w:val="5"/>
                <w:sz w:val="28"/>
                <w:szCs w:val="28"/>
              </w:rPr>
            </w:pPr>
            <w:r w:rsidRPr="00893F36">
              <w:rPr>
                <w:color w:val="000000" w:themeColor="text1"/>
                <w:spacing w:val="5"/>
                <w:sz w:val="28"/>
                <w:szCs w:val="28"/>
              </w:rPr>
              <w:t>- киоски, лоточная торговля, объекты торговли и обслуживания населения с торговой площадью до 100 кв. м;</w:t>
            </w:r>
          </w:p>
          <w:p w:rsidR="008F4775" w:rsidRPr="00893F36" w:rsidRDefault="008F4775" w:rsidP="00266978">
            <w:pPr>
              <w:rPr>
                <w:color w:val="000000" w:themeColor="text1"/>
                <w:spacing w:val="5"/>
                <w:sz w:val="28"/>
                <w:szCs w:val="28"/>
              </w:rPr>
            </w:pPr>
            <w:r w:rsidRPr="00893F36">
              <w:rPr>
                <w:color w:val="000000" w:themeColor="text1"/>
                <w:spacing w:val="5"/>
                <w:sz w:val="28"/>
                <w:szCs w:val="28"/>
              </w:rPr>
              <w:t>- площадки для выгула собак;</w:t>
            </w:r>
          </w:p>
          <w:p w:rsidR="008F4775" w:rsidRPr="00893F36" w:rsidRDefault="008F4775" w:rsidP="00266978">
            <w:pPr>
              <w:rPr>
                <w:color w:val="000000" w:themeColor="text1"/>
                <w:spacing w:val="5"/>
                <w:sz w:val="28"/>
                <w:szCs w:val="28"/>
              </w:rPr>
            </w:pPr>
            <w:r w:rsidRPr="00893F36">
              <w:rPr>
                <w:color w:val="000000" w:themeColor="text1"/>
                <w:spacing w:val="5"/>
                <w:sz w:val="28"/>
                <w:szCs w:val="28"/>
              </w:rPr>
              <w:t xml:space="preserve">- индивидуальная трудовая деятельность </w:t>
            </w:r>
            <w:r w:rsidRPr="00893F36">
              <w:rPr>
                <w:color w:val="000000" w:themeColor="text1"/>
                <w:spacing w:val="5"/>
                <w:sz w:val="28"/>
                <w:szCs w:val="28"/>
              </w:rPr>
              <w:lastRenderedPageBreak/>
              <w:t>в пределах участка, требующая согласования соответствующих служб государственного надзора (санитарного, противопожарного)</w:t>
            </w:r>
          </w:p>
          <w:p w:rsidR="008F4775" w:rsidRPr="00893F36" w:rsidRDefault="008F4775" w:rsidP="00266978">
            <w:pPr>
              <w:rPr>
                <w:color w:val="000000" w:themeColor="text1"/>
                <w:spacing w:val="5"/>
                <w:sz w:val="28"/>
                <w:szCs w:val="28"/>
              </w:rPr>
            </w:pPr>
            <w:r w:rsidRPr="00893F36">
              <w:rPr>
                <w:color w:val="000000" w:themeColor="text1"/>
                <w:spacing w:val="5"/>
                <w:sz w:val="28"/>
                <w:szCs w:val="28"/>
              </w:rPr>
              <w:t>- объекты общественного питания на 25 посадочных мест);</w:t>
            </w:r>
          </w:p>
          <w:p w:rsidR="008F4775" w:rsidRPr="00893F36" w:rsidRDefault="008F4775" w:rsidP="00266978">
            <w:pPr>
              <w:rPr>
                <w:color w:val="000000" w:themeColor="text1"/>
                <w:spacing w:val="5"/>
                <w:sz w:val="28"/>
                <w:szCs w:val="28"/>
              </w:rPr>
            </w:pPr>
            <w:r w:rsidRPr="00893F36">
              <w:rPr>
                <w:color w:val="000000" w:themeColor="text1"/>
                <w:spacing w:val="5"/>
                <w:sz w:val="28"/>
                <w:szCs w:val="28"/>
              </w:rPr>
              <w:t>- крытые отдельно стоящие физкультурно-оздоровительные комплексы, спортивные клубы, открытые спортивные площадки;</w:t>
            </w:r>
          </w:p>
          <w:p w:rsidR="008F4775" w:rsidRPr="00893F36" w:rsidRDefault="008F4775" w:rsidP="00266978">
            <w:pPr>
              <w:rPr>
                <w:color w:val="000000" w:themeColor="text1"/>
                <w:spacing w:val="5"/>
                <w:sz w:val="28"/>
                <w:szCs w:val="28"/>
              </w:rPr>
            </w:pPr>
            <w:r w:rsidRPr="00893F36">
              <w:rPr>
                <w:color w:val="000000" w:themeColor="text1"/>
                <w:spacing w:val="5"/>
                <w:sz w:val="28"/>
                <w:szCs w:val="28"/>
              </w:rPr>
              <w:t>- объекты общественного назначения (учреждения бизнеса и офисные помещения);</w:t>
            </w:r>
          </w:p>
          <w:p w:rsidR="008F4775" w:rsidRPr="00893F36" w:rsidRDefault="008F4775" w:rsidP="00266978">
            <w:pPr>
              <w:rPr>
                <w:color w:val="000000" w:themeColor="text1"/>
                <w:spacing w:val="5"/>
                <w:sz w:val="28"/>
                <w:szCs w:val="28"/>
                <w:lang w:val="en-US"/>
              </w:rPr>
            </w:pPr>
            <w:r w:rsidRPr="00893F36">
              <w:rPr>
                <w:color w:val="000000" w:themeColor="text1"/>
                <w:spacing w:val="5"/>
                <w:sz w:val="28"/>
                <w:szCs w:val="28"/>
              </w:rPr>
              <w:t xml:space="preserve">- ведение личного </w:t>
            </w:r>
            <w:r w:rsidRPr="00893F36">
              <w:rPr>
                <w:color w:val="000000" w:themeColor="text1"/>
                <w:spacing w:val="5"/>
                <w:sz w:val="28"/>
                <w:szCs w:val="28"/>
              </w:rPr>
              <w:lastRenderedPageBreak/>
              <w:t xml:space="preserve">подсобного хозяйства </w:t>
            </w:r>
          </w:p>
        </w:tc>
        <w:tc>
          <w:tcPr>
            <w:tcW w:w="4253" w:type="dxa"/>
          </w:tcPr>
          <w:p w:rsidR="008F4775" w:rsidRPr="008F4775" w:rsidRDefault="008F4775" w:rsidP="00266978">
            <w:pPr>
              <w:rPr>
                <w:b/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lastRenderedPageBreak/>
              <w:t>- размер земельного участка устанавливаются специальными правовыми актами</w:t>
            </w:r>
            <w:r>
              <w:rPr>
                <w:spacing w:val="5"/>
                <w:sz w:val="28"/>
                <w:szCs w:val="28"/>
              </w:rPr>
              <w:t xml:space="preserve"> органа местного самоуправления, </w:t>
            </w:r>
            <w:r w:rsidRPr="003A1B22">
              <w:rPr>
                <w:spacing w:val="5"/>
                <w:sz w:val="28"/>
                <w:szCs w:val="28"/>
              </w:rPr>
              <w:t>но не может быть  менее 0,04 га</w:t>
            </w:r>
            <w:r>
              <w:rPr>
                <w:spacing w:val="5"/>
                <w:sz w:val="28"/>
                <w:szCs w:val="28"/>
              </w:rPr>
              <w:t xml:space="preserve">, </w:t>
            </w:r>
            <w:r w:rsidRPr="008F4775">
              <w:rPr>
                <w:b/>
                <w:spacing w:val="5"/>
                <w:sz w:val="28"/>
                <w:szCs w:val="28"/>
              </w:rPr>
              <w:t>под отдельно стоящими гаражами не менее 0,002 га</w:t>
            </w:r>
            <w:proofErr w:type="gramStart"/>
            <w:r w:rsidRPr="008F4775">
              <w:rPr>
                <w:b/>
                <w:spacing w:val="5"/>
                <w:sz w:val="28"/>
                <w:szCs w:val="28"/>
              </w:rPr>
              <w:t>.;</w:t>
            </w:r>
            <w:proofErr w:type="gramEnd"/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коэффициент застройки территории –  0,2;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расстояние до границы соседнего </w:t>
            </w:r>
            <w:proofErr w:type="spellStart"/>
            <w:r w:rsidRPr="00A43237">
              <w:rPr>
                <w:spacing w:val="5"/>
                <w:sz w:val="28"/>
                <w:szCs w:val="28"/>
              </w:rPr>
              <w:t>приквартирного</w:t>
            </w:r>
            <w:proofErr w:type="spellEnd"/>
            <w:r w:rsidRPr="00A43237">
              <w:rPr>
                <w:spacing w:val="5"/>
                <w:sz w:val="28"/>
                <w:szCs w:val="28"/>
              </w:rPr>
              <w:t xml:space="preserve"> участка расстояния по санитарно-бытовым и зооветеринарным требованиям должны быть не менее:</w:t>
            </w:r>
          </w:p>
          <w:p w:rsidR="008F4775" w:rsidRPr="00A43237" w:rsidRDefault="008F4775" w:rsidP="00266978">
            <w:pPr>
              <w:ind w:left="317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от индивидуального, блокированного дома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43237">
                <w:rPr>
                  <w:spacing w:val="5"/>
                  <w:sz w:val="28"/>
                  <w:szCs w:val="28"/>
                </w:rPr>
                <w:t>3 м</w:t>
              </w:r>
            </w:smartTag>
            <w:r w:rsidRPr="00A43237">
              <w:rPr>
                <w:spacing w:val="5"/>
                <w:sz w:val="28"/>
                <w:szCs w:val="28"/>
              </w:rPr>
              <w:t>;</w:t>
            </w:r>
          </w:p>
          <w:p w:rsidR="008F4775" w:rsidRPr="00A43237" w:rsidRDefault="008F4775" w:rsidP="00266978">
            <w:pPr>
              <w:ind w:left="317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lastRenderedPageBreak/>
              <w:t xml:space="preserve">- от постройки для содержания скота и птицы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A43237">
                <w:rPr>
                  <w:spacing w:val="5"/>
                  <w:sz w:val="28"/>
                  <w:szCs w:val="28"/>
                </w:rPr>
                <w:t>4 м</w:t>
              </w:r>
            </w:smartTag>
            <w:r w:rsidRPr="00A43237">
              <w:rPr>
                <w:spacing w:val="5"/>
                <w:sz w:val="28"/>
                <w:szCs w:val="28"/>
              </w:rPr>
              <w:t>;</w:t>
            </w:r>
          </w:p>
          <w:p w:rsidR="008F4775" w:rsidRPr="00A43237" w:rsidRDefault="008F4775" w:rsidP="00266978">
            <w:pPr>
              <w:ind w:left="317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от других построек (бани, автостоянки и др.)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43237">
                <w:rPr>
                  <w:spacing w:val="5"/>
                  <w:sz w:val="28"/>
                  <w:szCs w:val="28"/>
                </w:rPr>
                <w:t>1 м</w:t>
              </w:r>
            </w:smartTag>
            <w:r w:rsidRPr="00A43237">
              <w:rPr>
                <w:spacing w:val="5"/>
                <w:sz w:val="28"/>
                <w:szCs w:val="28"/>
              </w:rPr>
              <w:t>;</w:t>
            </w:r>
          </w:p>
          <w:p w:rsidR="008F4775" w:rsidRPr="00A43237" w:rsidRDefault="008F4775" w:rsidP="00266978">
            <w:pPr>
              <w:ind w:left="317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от мусоросборников общего пользования – не более 100 м от входа в дом;</w:t>
            </w:r>
          </w:p>
          <w:p w:rsidR="008F4775" w:rsidRPr="00A43237" w:rsidRDefault="008F4775" w:rsidP="00266978">
            <w:pPr>
              <w:ind w:left="317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от дворовых туалетов, помойных ям, выгребов, септиков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A43237">
                <w:rPr>
                  <w:spacing w:val="5"/>
                  <w:sz w:val="28"/>
                  <w:szCs w:val="28"/>
                </w:rPr>
                <w:t>4 м</w:t>
              </w:r>
            </w:smartTag>
            <w:r w:rsidRPr="00A43237">
              <w:rPr>
                <w:spacing w:val="5"/>
                <w:sz w:val="28"/>
                <w:szCs w:val="28"/>
              </w:rPr>
              <w:t>;</w:t>
            </w:r>
          </w:p>
          <w:p w:rsidR="008F4775" w:rsidRPr="00A43237" w:rsidRDefault="008F4775" w:rsidP="00266978">
            <w:pPr>
              <w:ind w:left="317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от стволов деревьев:</w:t>
            </w:r>
          </w:p>
          <w:p w:rsidR="008F4775" w:rsidRPr="00A43237" w:rsidRDefault="008F4775" w:rsidP="00266978">
            <w:pPr>
              <w:ind w:left="459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высокорослых (высотой свыше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43237">
                <w:rPr>
                  <w:spacing w:val="5"/>
                  <w:sz w:val="28"/>
                  <w:szCs w:val="28"/>
                </w:rPr>
                <w:t>5 м</w:t>
              </w:r>
            </w:smartTag>
            <w:r w:rsidRPr="00A43237">
              <w:rPr>
                <w:spacing w:val="5"/>
                <w:sz w:val="28"/>
                <w:szCs w:val="28"/>
              </w:rPr>
              <w:t xml:space="preserve">)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A43237">
                <w:rPr>
                  <w:spacing w:val="5"/>
                  <w:sz w:val="28"/>
                  <w:szCs w:val="28"/>
                </w:rPr>
                <w:t>4 м</w:t>
              </w:r>
            </w:smartTag>
            <w:r w:rsidRPr="00A43237">
              <w:rPr>
                <w:spacing w:val="5"/>
                <w:sz w:val="28"/>
                <w:szCs w:val="28"/>
              </w:rPr>
              <w:t>;</w:t>
            </w:r>
          </w:p>
          <w:p w:rsidR="008F4775" w:rsidRPr="00A43237" w:rsidRDefault="008F4775" w:rsidP="00266978">
            <w:pPr>
              <w:ind w:left="459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</w:t>
            </w:r>
            <w:proofErr w:type="spellStart"/>
            <w:r w:rsidRPr="00A43237">
              <w:rPr>
                <w:spacing w:val="5"/>
                <w:sz w:val="28"/>
                <w:szCs w:val="28"/>
              </w:rPr>
              <w:t>среднерослых</w:t>
            </w:r>
            <w:proofErr w:type="spellEnd"/>
            <w:r w:rsidRPr="00A43237">
              <w:rPr>
                <w:spacing w:val="5"/>
                <w:sz w:val="28"/>
                <w:szCs w:val="28"/>
              </w:rPr>
              <w:t xml:space="preserve"> (высотой 4-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43237">
                <w:rPr>
                  <w:spacing w:val="5"/>
                  <w:sz w:val="28"/>
                  <w:szCs w:val="28"/>
                </w:rPr>
                <w:t>5 м</w:t>
              </w:r>
            </w:smartTag>
            <w:r w:rsidRPr="00A43237">
              <w:rPr>
                <w:spacing w:val="5"/>
                <w:sz w:val="28"/>
                <w:szCs w:val="28"/>
              </w:rPr>
              <w:t xml:space="preserve">)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A43237">
                <w:rPr>
                  <w:spacing w:val="5"/>
                  <w:sz w:val="28"/>
                  <w:szCs w:val="28"/>
                </w:rPr>
                <w:t>2 м</w:t>
              </w:r>
            </w:smartTag>
            <w:r w:rsidRPr="00A43237">
              <w:rPr>
                <w:spacing w:val="5"/>
                <w:sz w:val="28"/>
                <w:szCs w:val="28"/>
              </w:rPr>
              <w:t>;</w:t>
            </w:r>
          </w:p>
          <w:p w:rsidR="008F4775" w:rsidRPr="00A43237" w:rsidRDefault="008F4775" w:rsidP="00266978">
            <w:pPr>
              <w:ind w:left="459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от кустарника – 1 м;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на территориях с застройкой индивидуальными жилыми домами расстояние от окон жилых комнат до стен соседнего дома и хозяйственных построек (сарая, гаражи, бани), </w:t>
            </w:r>
            <w:r w:rsidRPr="00A43237">
              <w:rPr>
                <w:spacing w:val="5"/>
                <w:sz w:val="28"/>
                <w:szCs w:val="28"/>
              </w:rPr>
              <w:lastRenderedPageBreak/>
              <w:t>расположенных на соседних земельных участках, должно быть не менее 6 м;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сараи для скота и птицы, размещаемые в пределах селитебной территории, должны содержать не более 30 блоков; их следует предусматривать на расстоянии (в метрах) от окон жилых помещений дома, при количестве блоков: до 2 блоков - 15 м; от 3 до 8 блоков - 25 м; от 9 до 30 блоков - 50 м;</w:t>
            </w:r>
          </w:p>
          <w:p w:rsidR="008F4775" w:rsidRPr="00A43237" w:rsidRDefault="008F4775" w:rsidP="00266978">
            <w:pPr>
              <w:widowControl w:val="0"/>
              <w:spacing w:line="239" w:lineRule="auto"/>
              <w:ind w:left="33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      </w:r>
            <w:r w:rsidRPr="00A43237">
              <w:rPr>
                <w:spacing w:val="5"/>
                <w:sz w:val="28"/>
                <w:szCs w:val="28"/>
              </w:rPr>
              <w:lastRenderedPageBreak/>
              <w:t>7 м от входа в дом;</w:t>
            </w:r>
          </w:p>
          <w:p w:rsidR="008F4775" w:rsidRPr="00A43237" w:rsidRDefault="008F4775" w:rsidP="00266978">
            <w:pPr>
              <w:pStyle w:val="a3"/>
              <w:widowControl w:val="0"/>
              <w:spacing w:before="0" w:after="0" w:line="239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pacing w:val="5"/>
                <w:sz w:val="28"/>
                <w:szCs w:val="28"/>
              </w:rPr>
            </w:pPr>
            <w:r w:rsidRPr="00A43237">
              <w:rPr>
                <w:rFonts w:ascii="Times New Roman" w:hAnsi="Times New Roman" w:cs="Times New Roman"/>
                <w:color w:val="auto"/>
                <w:spacing w:val="5"/>
                <w:sz w:val="28"/>
                <w:szCs w:val="28"/>
              </w:rPr>
              <w:t>- состав и площади хозяйственных</w:t>
            </w:r>
            <w:r w:rsidRPr="00A43237">
              <w:t xml:space="preserve"> </w:t>
            </w:r>
            <w:r w:rsidRPr="00A43237">
              <w:rPr>
                <w:rFonts w:ascii="Times New Roman" w:hAnsi="Times New Roman" w:cs="Times New Roman"/>
                <w:color w:val="auto"/>
                <w:spacing w:val="5"/>
                <w:sz w:val="28"/>
                <w:szCs w:val="28"/>
              </w:rPr>
              <w:t>построек и построек для индивидуальной трудовой деятельности принимаются в соответствии с градостроительным планом земельного участка;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>- максимально допустимая высота ограждений земельных участков со стороны улицы принимается не более 1,8 м;</w:t>
            </w:r>
          </w:p>
          <w:p w:rsidR="008F4775" w:rsidRPr="00A43237" w:rsidRDefault="008F4775" w:rsidP="00266978">
            <w:pPr>
              <w:pStyle w:val="a3"/>
              <w:widowControl w:val="0"/>
              <w:spacing w:before="0" w:after="0" w:line="237" w:lineRule="auto"/>
              <w:jc w:val="left"/>
              <w:rPr>
                <w:rFonts w:ascii="Times New Roman" w:hAnsi="Times New Roman" w:cs="Times New Roman"/>
                <w:color w:val="auto"/>
                <w:spacing w:val="5"/>
                <w:sz w:val="28"/>
                <w:szCs w:val="28"/>
              </w:rPr>
            </w:pPr>
            <w:r w:rsidRPr="00A43237">
              <w:rPr>
                <w:rFonts w:ascii="Times New Roman" w:hAnsi="Times New Roman" w:cs="Times New Roman"/>
                <w:color w:val="auto"/>
                <w:spacing w:val="5"/>
                <w:sz w:val="28"/>
                <w:szCs w:val="28"/>
              </w:rPr>
              <w:t>- 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 и высотой не более 2,0 м;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для предварительного </w:t>
            </w:r>
            <w:r w:rsidRPr="00A43237">
              <w:rPr>
                <w:spacing w:val="5"/>
                <w:sz w:val="28"/>
                <w:szCs w:val="28"/>
              </w:rPr>
              <w:lastRenderedPageBreak/>
              <w:t xml:space="preserve">определения размеров территории, требуемой для постоянного хранения легковых автомобилей, допускается принимать 1 </w:t>
            </w:r>
            <w:proofErr w:type="spellStart"/>
            <w:r w:rsidRPr="00A43237">
              <w:rPr>
                <w:spacing w:val="5"/>
                <w:sz w:val="28"/>
                <w:szCs w:val="28"/>
              </w:rPr>
              <w:t>машино-место</w:t>
            </w:r>
            <w:proofErr w:type="spellEnd"/>
            <w:r w:rsidRPr="00A43237">
              <w:rPr>
                <w:spacing w:val="5"/>
                <w:sz w:val="28"/>
                <w:szCs w:val="28"/>
              </w:rPr>
              <w:t xml:space="preserve"> на индивидуальный жилой дом;</w:t>
            </w:r>
          </w:p>
          <w:p w:rsidR="008F4775" w:rsidRPr="00A43237" w:rsidRDefault="008F4775" w:rsidP="00266978">
            <w:pPr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- расстояния между жилыми домами внутри квартала (группы домов), а также между жилыми и общественными зданиями, определяются, исходя из требований противопожарной безопасности, инсоляции и санитарной защиты в соответствии с действующими нормами и правилами, а также в соответствии </w:t>
            </w:r>
            <w:proofErr w:type="gramStart"/>
            <w:r w:rsidRPr="00A43237">
              <w:rPr>
                <w:spacing w:val="5"/>
                <w:sz w:val="28"/>
                <w:szCs w:val="28"/>
              </w:rPr>
              <w:t>с</w:t>
            </w:r>
            <w:proofErr w:type="gramEnd"/>
            <w:r w:rsidRPr="00A43237">
              <w:rPr>
                <w:spacing w:val="5"/>
                <w:sz w:val="28"/>
                <w:szCs w:val="28"/>
              </w:rPr>
              <w:t xml:space="preserve"> </w:t>
            </w:r>
          </w:p>
          <w:p w:rsidR="008F4775" w:rsidRPr="00A43237" w:rsidRDefault="008F4775" w:rsidP="00266978">
            <w:pPr>
              <w:autoSpaceDE w:val="0"/>
              <w:autoSpaceDN w:val="0"/>
              <w:adjustRightInd w:val="0"/>
              <w:rPr>
                <w:spacing w:val="5"/>
                <w:sz w:val="28"/>
                <w:szCs w:val="28"/>
              </w:rPr>
            </w:pPr>
            <w:r w:rsidRPr="00A43237">
              <w:rPr>
                <w:spacing w:val="5"/>
                <w:sz w:val="28"/>
                <w:szCs w:val="28"/>
              </w:rPr>
              <w:t xml:space="preserve">региональными (местными) нормативами  градостроительного проектирования и с проектом планировки. </w:t>
            </w:r>
          </w:p>
        </w:tc>
      </w:tr>
    </w:tbl>
    <w:p w:rsidR="00BC79A5" w:rsidRDefault="00BC79A5"/>
    <w:sectPr w:rsidR="00BC79A5" w:rsidSect="008F477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4775"/>
    <w:rsid w:val="008F4775"/>
    <w:rsid w:val="00BC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F47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477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47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775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8F4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8F4775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Iauiue">
    <w:name w:val="Iau?iue"/>
    <w:uiPriority w:val="99"/>
    <w:rsid w:val="008F47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766</Words>
  <Characters>4369</Characters>
  <Application>Microsoft Office Word</Application>
  <DocSecurity>0</DocSecurity>
  <Lines>36</Lines>
  <Paragraphs>10</Paragraphs>
  <ScaleCrop>false</ScaleCrop>
  <Company>Microsoft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2016-11-01T11:56:00Z</dcterms:created>
  <dcterms:modified xsi:type="dcterms:W3CDTF">2016-11-01T12:00:00Z</dcterms:modified>
</cp:coreProperties>
</file>